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58" w:rsidRDefault="00C40FF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Порядок действий при строительстве и замене узлов измерения расхода газа (счетчиков газа)</w:t>
      </w:r>
    </w:p>
    <w:p w:rsidR="00487958" w:rsidRDefault="00C40FF8">
      <w:pPr>
        <w:pStyle w:val="af8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Получение технических условий.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Технические условия на проектирование коммерческого узла измерения расхода газа (далее ТУ) выдаются по заявке потребителя газа 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с целью информирования владельца узла измерения расхода газа (далее УИРГ) о требованиях предъявляемых законодательством РФ к УИРГ, облегчением задачи по выбору метода измерений, для предотвращения возможных претензий поставщика газа при приемке и эксплуата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ции УИРГ, а также исключения необоснованных затрат потребителя, связанных с устранением возможных замечаний поставщика газа.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u w:val="single"/>
          <w:shd w:val="clear" w:color="auto" w:fill="FFFFFF"/>
        </w:rPr>
        <w:t>Услуга по выдаче ТУ является бесплатной.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 Обращение за получением ТУ заявителем или его представителем (по доверенности) производитс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я до начала работ по проектированию УИРГ. 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Подготовка ТУ осуществляется на основании </w:t>
      </w:r>
      <w:hyperlink r:id="rId8" w:tooltip="http://www.mrgnn.ru/File/zayavka_na_TU.DOCX" w:history="1">
        <w:r>
          <w:rPr>
            <w:rFonts w:ascii="Times New Roman" w:hAnsi="Times New Roman" w:cs="Times New Roman"/>
            <w:color w:val="313534"/>
            <w:sz w:val="27"/>
            <w:szCs w:val="27"/>
            <w:shd w:val="clear" w:color="auto" w:fill="FFFFFF"/>
          </w:rPr>
          <w:t>заявки на получение технических условий</w:t>
        </w:r>
      </w:hyperlink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 с предоставлением комп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лекта разрешительных документов* в 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br/>
        <w:t xml:space="preserve">ООО «Газпром межрегионгаз Самара» любым удобным для заявителя или его представителя способом (лично: г. Самара, ул. Ново-Садовая, 307А; электронной почтой: </w:t>
      </w:r>
      <w:hyperlink r:id="rId9" w:tooltip="mailto:srg@samgas.ru" w:history="1">
        <w:r>
          <w:rPr>
            <w:rStyle w:val="af9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s</w:t>
        </w:r>
        <w:r>
          <w:rPr>
            <w:rStyle w:val="af9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rg@samgas.ru</w:t>
        </w:r>
      </w:hyperlink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). Заявка регистрируется в отделе документационного обеспечения с присвоением ей входящего номера. 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Срок подготовки ТУ или получение мотивированного отказа исчисляется с даты присвоения заявке входящего номера документа ООО «Газпром межрегионга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з Самара» и не превышает 30 календарных дней. Рассмотрение документации происходит в порядке очередности поступления заявок. Получение ТУ осуществляется заявителем или его представителем (по доверенности) в 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br/>
        <w:t xml:space="preserve">ООО «Газпром межрегионгаз Самара» по адресу: г. 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Самара, ул. Ново-Садовая, 307А, отдел метрологии.</w:t>
      </w:r>
      <w:r>
        <w:rPr>
          <w:rFonts w:ascii="Times New Roman" w:hAnsi="Times New Roman" w:cs="Times New Roman"/>
          <w:color w:val="313534"/>
          <w:sz w:val="27"/>
          <w:szCs w:val="27"/>
        </w:rPr>
        <w:t xml:space="preserve"> 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b/>
          <w:color w:val="313534"/>
          <w:sz w:val="27"/>
          <w:szCs w:val="27"/>
        </w:rPr>
      </w:pPr>
      <w:r>
        <w:rPr>
          <w:rFonts w:ascii="Times New Roman" w:hAnsi="Times New Roman" w:cs="Times New Roman"/>
          <w:b/>
          <w:color w:val="313534"/>
          <w:sz w:val="27"/>
          <w:szCs w:val="27"/>
        </w:rPr>
        <w:t>* Перечень разрешительных документов для получения ТУ:</w:t>
      </w:r>
    </w:p>
    <w:p w:rsidR="00487958" w:rsidRDefault="00C40FF8">
      <w:pPr>
        <w:pStyle w:val="afa"/>
        <w:shd w:val="clear" w:color="auto" w:fill="FFFFFF"/>
        <w:jc w:val="both"/>
        <w:rPr>
          <w:rFonts w:eastAsiaTheme="minorHAnsi"/>
          <w:b/>
          <w:color w:val="313534"/>
          <w:sz w:val="27"/>
          <w:szCs w:val="27"/>
          <w:shd w:val="clear" w:color="auto" w:fill="FFFFFF"/>
          <w:lang w:eastAsia="en-US"/>
        </w:rPr>
      </w:pPr>
      <w:r>
        <w:rPr>
          <w:rFonts w:eastAsiaTheme="minorHAnsi"/>
          <w:b/>
          <w:bCs/>
          <w:sz w:val="27"/>
          <w:szCs w:val="27"/>
          <w:shd w:val="clear" w:color="auto" w:fill="FFFFFF"/>
          <w:lang w:eastAsia="en-US"/>
        </w:rPr>
        <w:t>- Для вновь газифицируемых объектов:</w:t>
      </w:r>
    </w:p>
    <w:p w:rsidR="00487958" w:rsidRDefault="00C40FF8">
      <w:pPr>
        <w:pStyle w:val="afa"/>
        <w:shd w:val="clear" w:color="auto" w:fill="FFFFFF"/>
        <w:jc w:val="both"/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</w:pP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t>• Технические условия подключения (технологического присоединения) объекта капитального строительства к сетям газораспределения с указанием проектного и рабочего давления газа в точке подключения от газораспределительной организации;</w:t>
      </w:r>
    </w:p>
    <w:p w:rsidR="00487958" w:rsidRDefault="00C40FF8">
      <w:pPr>
        <w:pStyle w:val="afa"/>
        <w:shd w:val="clear" w:color="auto" w:fill="FFFFFF"/>
        <w:jc w:val="both"/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</w:pP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t>• Расчет-обоснование п</w:t>
      </w: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t>отребности в топливе (расчет планируемого максимального часового расхода газа) с указанием типа и мощности газопотребляющего оборудования (для заявителей с максимальным расходом газа более 5 м3/ч);</w:t>
      </w: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br/>
      </w:r>
    </w:p>
    <w:p w:rsidR="00487958" w:rsidRDefault="00C40FF8">
      <w:pPr>
        <w:pStyle w:val="afa"/>
        <w:shd w:val="clear" w:color="auto" w:fill="FFFFFF"/>
        <w:jc w:val="both"/>
        <w:rPr>
          <w:rFonts w:eastAsiaTheme="minorHAnsi"/>
          <w:b/>
          <w:color w:val="313534"/>
          <w:sz w:val="27"/>
          <w:szCs w:val="27"/>
          <w:shd w:val="clear" w:color="auto" w:fill="FFFFFF"/>
          <w:lang w:eastAsia="en-US"/>
        </w:rPr>
      </w:pPr>
      <w:r>
        <w:rPr>
          <w:rFonts w:eastAsiaTheme="minorHAnsi"/>
          <w:b/>
          <w:bCs/>
          <w:sz w:val="27"/>
          <w:szCs w:val="27"/>
          <w:shd w:val="clear" w:color="auto" w:fill="FFFFFF"/>
          <w:lang w:eastAsia="en-US"/>
        </w:rPr>
        <w:t>- Для объектов, проводящих реконструкцию УИРГ (имеющих де</w:t>
      </w:r>
      <w:r>
        <w:rPr>
          <w:rFonts w:eastAsiaTheme="minorHAnsi"/>
          <w:b/>
          <w:bCs/>
          <w:sz w:val="27"/>
          <w:szCs w:val="27"/>
          <w:shd w:val="clear" w:color="auto" w:fill="FFFFFF"/>
          <w:lang w:eastAsia="en-US"/>
        </w:rPr>
        <w:t>йствующий договор поставки газа):</w:t>
      </w:r>
    </w:p>
    <w:p w:rsidR="00487958" w:rsidRDefault="00C40FF8">
      <w:pPr>
        <w:pStyle w:val="afa"/>
        <w:shd w:val="clear" w:color="auto" w:fill="FFFFFF"/>
        <w:jc w:val="both"/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</w:pP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t>• Без изменения газопотребляющего оборудования, необходимо предоставить заявку на получение ТУ;</w:t>
      </w:r>
    </w:p>
    <w:p w:rsidR="00487958" w:rsidRDefault="00C40FF8">
      <w:pPr>
        <w:pStyle w:val="afa"/>
        <w:shd w:val="clear" w:color="auto" w:fill="FFFFFF"/>
        <w:jc w:val="both"/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</w:pP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lastRenderedPageBreak/>
        <w:t xml:space="preserve">• В случае замены газопотребляющего оборудования с уменьшением его максимального расхода газа, необходимо предоставить заявку </w:t>
      </w: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t>на получение ТУ с приложением расчета-обоснования потребности в топливе (расчет планируемого максимального часового расхода газа) с указанием типа и мощности газопотребляющего оборудования (для заявителей с максимальным расходом газа более 5 м3/ч);</w:t>
      </w:r>
    </w:p>
    <w:p w:rsidR="00487958" w:rsidRDefault="00C40FF8">
      <w:pPr>
        <w:pStyle w:val="afa"/>
        <w:shd w:val="clear" w:color="auto" w:fill="FFFFFF"/>
        <w:jc w:val="both"/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</w:pP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t>• В слу</w:t>
      </w:r>
      <w:r>
        <w:rPr>
          <w:rFonts w:eastAsiaTheme="minorHAnsi"/>
          <w:color w:val="313534"/>
          <w:sz w:val="27"/>
          <w:szCs w:val="27"/>
          <w:shd w:val="clear" w:color="auto" w:fill="FFFFFF"/>
          <w:lang w:eastAsia="en-US"/>
        </w:rPr>
        <w:t>чае замены газопотребляющего оборудования с увеличением максимального расхода газа, ТУ выдаются в порядке, как для вновь газифицируемых объектов.</w:t>
      </w:r>
    </w:p>
    <w:p w:rsidR="00487958" w:rsidRDefault="00C40FF8">
      <w:pPr>
        <w:pStyle w:val="af8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Разработка проектной документации</w:t>
      </w:r>
    </w:p>
    <w:p w:rsidR="00487958" w:rsidRDefault="00C40FF8">
      <w:pPr>
        <w:pStyle w:val="afa"/>
        <w:spacing w:before="0" w:beforeAutospacing="0" w:after="0" w:afterAutospacing="0"/>
        <w:ind w:firstLine="360"/>
        <w:jc w:val="both"/>
        <w:rPr>
          <w:color w:val="000000" w:themeColor="dark1"/>
          <w:sz w:val="28"/>
          <w:szCs w:val="28"/>
        </w:rPr>
      </w:pPr>
      <w:r>
        <w:rPr>
          <w:color w:val="000000" w:themeColor="dark1"/>
          <w:sz w:val="27"/>
          <w:szCs w:val="27"/>
        </w:rPr>
        <w:t>Разработка проектной документации или внесение изменений в существующую прое</w:t>
      </w:r>
      <w:r>
        <w:rPr>
          <w:color w:val="000000" w:themeColor="dark1"/>
          <w:sz w:val="27"/>
          <w:szCs w:val="27"/>
        </w:rPr>
        <w:t>ктную документацию на объект газоснабжения в части изменения узла измерения расхода газа, выполняется любой лицензированной проектной организацией на основании заключенного договора на данные виды работ.</w:t>
      </w:r>
    </w:p>
    <w:p w:rsidR="00487958" w:rsidRDefault="00487958">
      <w:pPr>
        <w:pStyle w:val="afa"/>
        <w:spacing w:before="0" w:beforeAutospacing="0" w:after="0" w:afterAutospacing="0"/>
        <w:ind w:firstLine="360"/>
        <w:jc w:val="both"/>
      </w:pPr>
    </w:p>
    <w:p w:rsidR="00487958" w:rsidRDefault="00C40FF8">
      <w:pPr>
        <w:pStyle w:val="af8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Согласование проектной документации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Согласование пр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оектной документации производится по окончанию проектирования УИРГ с целью проверки правильности подбора основных и вспомогательных средств измерений УИРГ, соответствия их действующим нормативным документам, методики выполнения измерений, а также для опера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тивного устранения несоответствий выявленных на стадии проектирования и сведения к минимуму необоснованных затрат, связанных с устранением возможных замечаний при вводе УИРГ в эксплуатацию.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u w:val="single"/>
          <w:shd w:val="clear" w:color="auto" w:fill="FFFFFF"/>
        </w:rPr>
        <w:t>Услуга по согласованию проектной документации является бесплатной.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Согласование проектной документации осуществляется на основании </w:t>
      </w:r>
      <w:hyperlink r:id="rId10" w:tooltip="http://www.mrgnn.ru/File/zayavka_na_KUU.DOCX" w:history="1">
        <w:r>
          <w:rPr>
            <w:rFonts w:ascii="Times New Roman" w:hAnsi="Times New Roman" w:cs="Times New Roman"/>
            <w:color w:val="313534"/>
            <w:sz w:val="27"/>
            <w:szCs w:val="27"/>
            <w:shd w:val="clear" w:color="auto" w:fill="FFFFFF"/>
          </w:rPr>
          <w:t>заявки на согласование проектной документации</w:t>
        </w:r>
      </w:hyperlink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 с предоставлением перечня документ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ов в ООО «Газпром межрегионгаз Самара» любым удобным для заявителя или его представителя способом (лично: г. Самара, ул. Ново-Садовая, 307А; электронной почтой: </w:t>
      </w:r>
      <w:hyperlink r:id="rId11" w:tooltip="mailto:srg@samgas.ru" w:history="1">
        <w:r>
          <w:rPr>
            <w:rStyle w:val="af9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srg@samgas.ru</w:t>
        </w:r>
      </w:hyperlink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). Заявка регистрир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уется в отделе документационного обеспечения с присвоением ей входящего номера.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Срок рассмотрения проектной документации исчисляется с даты присвоения входящего номера документа ООО «Газпром межрегионгаз Самара», и не превышает 30 календарных дней. Рассмот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рение документации происходит в порядке очередности поступления заявок.</w:t>
      </w:r>
    </w:p>
    <w:p w:rsidR="00487958" w:rsidRDefault="00C40FF8">
      <w:pPr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Перечень документов для согласования проектной документации: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Технические условия или д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окументы в соответствии с перечнем разрешительных документов для получения ТУ (при отсутствии выданных ТУ);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Проект газификации объекта;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Расчет максимально допустимой расширенной неопределенности определения расхода газа (за исключением прямых измерений).</w:t>
      </w:r>
    </w:p>
    <w:p w:rsidR="00487958" w:rsidRDefault="0048795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</w:p>
    <w:p w:rsidR="00487958" w:rsidRDefault="00C40FF8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  <w:lastRenderedPageBreak/>
        <w:t>Выполнение монтажных работ</w:t>
      </w:r>
    </w:p>
    <w:p w:rsidR="00487958" w:rsidRDefault="00C40FF8">
      <w:pPr>
        <w:pStyle w:val="afa"/>
        <w:spacing w:before="0" w:beforeAutospacing="0" w:after="0" w:afterAutospacing="0"/>
        <w:ind w:firstLine="360"/>
        <w:jc w:val="both"/>
        <w:rPr>
          <w:sz w:val="27"/>
          <w:szCs w:val="27"/>
        </w:rPr>
      </w:pPr>
      <w:r>
        <w:rPr>
          <w:color w:val="000000" w:themeColor="dark1"/>
          <w:sz w:val="27"/>
          <w:szCs w:val="27"/>
        </w:rPr>
        <w:t>Монтажные работы выполняются любой организацией, имеющей допуски на право проведения данных работ и квалифицированных специалистов</w:t>
      </w:r>
      <w:r>
        <w:rPr>
          <w:color w:val="000000" w:themeColor="dark1"/>
          <w:sz w:val="27"/>
          <w:szCs w:val="27"/>
        </w:rPr>
        <w:t>, на основании заключенного договора на данные виды услуг, которые могут в себя включать приобретение счетчика газа или счетчик газа приобретается отдельно и передается для монтажа.</w:t>
      </w:r>
    </w:p>
    <w:p w:rsidR="00487958" w:rsidRDefault="00487958">
      <w:pPr>
        <w:jc w:val="both"/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</w:pPr>
    </w:p>
    <w:p w:rsidR="00487958" w:rsidRDefault="00C40FF8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  <w:t>Приемка УИРГ в коммерческую эксплуатацию.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u w:val="single"/>
          <w:shd w:val="clear" w:color="auto" w:fill="FFFFFF"/>
        </w:rPr>
        <w:t>Услуга по приемке узла измерени</w:t>
      </w:r>
      <w:r>
        <w:rPr>
          <w:rFonts w:ascii="Times New Roman" w:hAnsi="Times New Roman" w:cs="Times New Roman"/>
          <w:color w:val="313534"/>
          <w:sz w:val="27"/>
          <w:szCs w:val="27"/>
          <w:u w:val="single"/>
          <w:shd w:val="clear" w:color="auto" w:fill="FFFFFF"/>
        </w:rPr>
        <w:t>я расхода газа (далее УИРГ) в коммерческую эксплуатацию является бесплатной.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  <w:t>Перечень документов для приемки УИРГ: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Оригинал рабочего проекта, совместно с ТУ;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Расчет-обоснование потребности в топливе (расчет планируемого максимального часового расхода г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аза) с указанием типа и мощности газопотребляющего оборудования (для УИРГ производительностью свыше 5 м3/ч);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Оригиналы паспортов, руководств по эксплуатации и технических описаний, действующих сведений о поверке на средства измерений, входящих в состав У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ИРГ;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Акт проверки состояния и применения средств измерений и соблюдения требований методики выполнения измерений;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Расчет максимально допустимой расширенной неопределенности определения расхода газа;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Акт измерений внутреннего диаметра измерительного г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азопровода (наличие акта предусматривается применяемой методикой выполнения измерений);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Паспорта на газопотребляющее оборудование.</w:t>
      </w:r>
    </w:p>
    <w:p w:rsidR="00487958" w:rsidRDefault="00C40FF8">
      <w:pPr>
        <w:jc w:val="both"/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  <w:t>Алгоритм приемки УИРГ: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Подается заявка на проверку готовности УИРГ и приемки в коммерческую эксплуатацию (после окончания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 работ по монтажу измерительного и газоиспользующего оборудования). Заявка подается не ранее чем за 3 дня до приемки УИРГ любым удобным для заявителя или его представителя способом (лично: г. Самара, ул. Ново-Садовая, 307А; электронной почтой: </w:t>
      </w:r>
      <w:hyperlink r:id="rId12" w:tooltip="mailto:srg@samgas.ru" w:history="1">
        <w:r>
          <w:rPr>
            <w:rStyle w:val="af9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srg@samgas.ru</w:t>
        </w:r>
      </w:hyperlink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). 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13534"/>
          <w:sz w:val="27"/>
          <w:szCs w:val="27"/>
          <w:shd w:val="clear" w:color="auto" w:fill="FFFFFF"/>
        </w:rPr>
        <w:t>Для приемки УИРГ: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Работы по его монтажу УИРГ, программированию и наладке, проводят представители монтажной или обслуживающей организации нанятой владельцем УИР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Г. Квалификация персонала должна соответствовать требованиям предъявляемой методики выполнения измерений и технической документации на применяемые средства измерений;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Монтаж УИРГ на измерительный газопровод осуществляется в присутствии сотрудника ООО «Га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зпром межрегионгаз Самара»;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lastRenderedPageBreak/>
        <w:t>- УИРГ должен быть подготовлен к опломбированию, а именно: элементы крепления УИРГ с измерительным газопроводом, обводная (байпасная) задвижка/кран (при наличии), вся запорная арматура до УИРГ, краны на средства измерений, ручки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 вентильного блока, и т.п. Подготовка осуществляется путем сверления отверстий в ручках, штоках, штурвалах, крепеже и т.д. При необходимости подготовки дополнительных мест для пломбирования на месте приемки должно быть предусмотрено наличие соответствующег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о инструмента;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- Средство обработки результатов измерения к моменту приемки УИРГ в коммерческую эксплуатацию должно обеспечивать возможность распечатки архивной и итоговой информации на принтере непосредственно или через устройство приема/передачи информац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ии (переносного устройства сбора информации, компьютера и т.п.);</w:t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 xml:space="preserve">- По окончанию приемки представителю владельца, в зависимости от результатов выдается: Акт проверки с выводом о приемке в эксплуатацию, или Акт проверки с указанием выявленных несоответствий </w:t>
      </w: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t>и нарушений. </w:t>
      </w:r>
    </w:p>
    <w:p w:rsidR="00487958" w:rsidRDefault="0048795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</w:p>
    <w:p w:rsidR="00487958" w:rsidRDefault="00C40FF8">
      <w:pP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  <w:br w:type="page" w:clear="all"/>
      </w:r>
    </w:p>
    <w:p w:rsidR="00487958" w:rsidRDefault="00C40FF8">
      <w:pPr>
        <w:ind w:firstLine="360"/>
        <w:jc w:val="both"/>
        <w:rPr>
          <w:rFonts w:ascii="Times New Roman" w:hAnsi="Times New Roman" w:cs="Times New Roman"/>
          <w:color w:val="313534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230936</wp:posOffset>
                </wp:positionH>
                <wp:positionV relativeFrom="paragraph">
                  <wp:posOffset>8005801</wp:posOffset>
                </wp:positionV>
                <wp:extent cx="5737860" cy="1384995"/>
                <wp:effectExtent l="0" t="0" r="0" b="8890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37860" cy="13849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2000"/>
                                <a:lumOff val="18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5. Приемка УИРГ в коммерческую эксплуатацию.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Приемка УИРГ проводится по обращению Потребителя, после выполнения монтажных и наладочных работ, предусмотренных согласованной проектной документацией.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Cs/>
                                <w:color w:val="000000" w:themeColor="dark1"/>
                                <w:sz w:val="28"/>
                                <w:szCs w:val="28"/>
                                <w:u w:val="single"/>
                              </w:rPr>
                              <w:t>Услуга по приемке узла измерения расхода газа (далее УИРГ) в коммерческую эксплуатацию является бесплатной.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66432;o:allowoverlap:true;o:allowincell:true;mso-position-horizontal-relative:text;margin-left:18.18pt;mso-position-horizontal:absolute;mso-position-vertical-relative:text;margin-top:630.38pt;mso-position-vertical:absolute;width:451.80pt;height:109.05pt;mso-wrap-distance-left:9.00pt;mso-wrap-distance-top:0.00pt;mso-wrap-distance-right:9.00pt;mso-wrap-distance-bottom:0.00pt;visibility:visible;" fillcolor="#76ABDB" stroked="f" strokeweight="0.50pt">
                <v:stroke dashstyle="solid"/>
                <v:textbox inset="0,0,0,0">
                  <w:txbxContent>
                    <w:p>
                      <w:pPr>
                        <w:pStyle w:val="633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5</w:t>
                      </w: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. Приемка УИРГ в коммерческую эксплуатацию.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Приемка УИРГ проводится по обращению Потребителя, после выполнения 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монтажных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 и наладочных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 работ,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 предусмотренных согласованной проектной документацией.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bCs/>
                          <w:color w:val="000000" w:themeColor="dark1"/>
                          <w:sz w:val="28"/>
                          <w:szCs w:val="28"/>
                          <w:u w:val="single"/>
                        </w:rPr>
                        <w:t xml:space="preserve">Услуга по приемке узла измерения расхода газа (далее УИРГ) в коммерческую эксплуатацию является бесплатной.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2764536</wp:posOffset>
                </wp:positionH>
                <wp:positionV relativeFrom="paragraph">
                  <wp:posOffset>7315632</wp:posOffset>
                </wp:positionV>
                <wp:extent cx="615315" cy="583565"/>
                <wp:effectExtent l="15875" t="3175" r="29209" b="29209"/>
                <wp:wrapNone/>
                <wp:docPr id="2" name="Штриховая 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615315" cy="583565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93" type="#_x0000_t93" style="position:absolute;z-index:251676672;o:allowoverlap:true;o:allowincell:true;mso-position-horizontal-relative:text;margin-left:217.68pt;mso-position-horizontal:absolute;mso-position-vertical-relative:text;margin-top:576.03pt;mso-position-vertical:absolute;width:48.45pt;height:45.95pt;mso-wrap-distance-left:9.00pt;mso-wrap-distance-top:0.00pt;mso-wrap-distance-right:9.00pt;mso-wrap-distance-bottom:0.00pt;rotation:90;visibility:visible;" fillcolor="#99C1E5" strokecolor="#2D4D6A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6004789</wp:posOffset>
                </wp:positionV>
                <wp:extent cx="5737860" cy="1384995"/>
                <wp:effectExtent l="0" t="0" r="0" b="8890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37860" cy="13849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2000"/>
                                <a:lumOff val="18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4. Выполнение монтажных работ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Выполняется любой монтажной организацией, имеющей допуски на данные виды работ,</w:t>
                            </w: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на основании заключенного договора на данные виды услуг, которые могут в себя включать приобретение счетчика газа или счетчик газа приобретается отдельно и передается для монтажа.</w:t>
                            </w:r>
                          </w:p>
                          <w:p w:rsidR="00487958" w:rsidRDefault="0048795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74624;o:allowoverlap:true;o:allowincell:true;mso-position-horizontal-relative:text;margin-left:17.85pt;mso-position-horizontal:absolute;mso-position-vertical-relative:text;margin-top:472.82pt;mso-position-vertical:absolute;width:451.80pt;height:109.05pt;mso-wrap-distance-left:9.00pt;mso-wrap-distance-top:0.00pt;mso-wrap-distance-right:9.00pt;mso-wrap-distance-bottom:0.00pt;visibility:visible;" fillcolor="#76ABDB" stroked="f" strokeweight="0.50pt">
                <v:stroke dashstyle="solid"/>
                <v:textbox inset="0,0,0,0">
                  <w:txbxContent>
                    <w:p>
                      <w:pPr>
                        <w:pStyle w:val="633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. Выполнение монтажных работ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Выполняется 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любой монтажной организацией, имеющей допуски на данные виды работ,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 на основании заключенного договора на данные виды 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услуг, которые могут в себя включать приобретение счетчика газа или счетчик газа приобретается отдельно и передается для монтажа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5334000</wp:posOffset>
                </wp:positionV>
                <wp:extent cx="615315" cy="583565"/>
                <wp:effectExtent l="15875" t="3175" r="29209" b="29209"/>
                <wp:wrapNone/>
                <wp:docPr id="4" name="Штриховая 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615315" cy="583565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93" type="#_x0000_t93" style="position:absolute;z-index:251672576;o:allowoverlap:true;o:allowincell:true;mso-position-horizontal-relative:text;margin-left:217.60pt;mso-position-horizontal:absolute;mso-position-vertical-relative:text;margin-top:420.00pt;mso-position-vertical:absolute;width:48.45pt;height:45.95pt;mso-wrap-distance-left:9.00pt;mso-wrap-distance-top:0.00pt;mso-wrap-distance-right:9.00pt;mso-wrap-distance-bottom:0.00pt;rotation:90;visibility:visible;" fillcolor="#99C1E5" strokecolor="#2D4D6A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3732530</wp:posOffset>
                </wp:positionV>
                <wp:extent cx="615848" cy="584149"/>
                <wp:effectExtent l="15875" t="3175" r="29209" b="29209"/>
                <wp:wrapNone/>
                <wp:docPr id="5" name="Штриховая 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615848" cy="584149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93" type="#_x0000_t93" style="position:absolute;z-index:251670528;o:allowoverlap:true;o:allowincell:true;mso-position-horizontal-relative:text;margin-left:216.50pt;mso-position-horizontal:absolute;mso-position-vertical-relative:text;margin-top:293.90pt;mso-position-vertical:absolute;width:48.49pt;height:46.00pt;mso-wrap-distance-left:9.00pt;mso-wrap-distance-top:0.00pt;mso-wrap-distance-right:9.00pt;mso-wrap-distance-bottom:0.00pt;rotation:90;visibility:visible;" fillcolor="#99C1E5" strokecolor="#2D4D6A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4399457</wp:posOffset>
                </wp:positionV>
                <wp:extent cx="5737860" cy="1169035"/>
                <wp:effectExtent l="0" t="0" r="0" b="381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37860" cy="11690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2000"/>
                                <a:lumOff val="18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3. Согласование проектной документации.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Согласование проектной докуме</w:t>
                            </w: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нтации производится по окончанию проектирования УИРГ.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Cs/>
                                <w:color w:val="000000" w:themeColor="dark1"/>
                                <w:sz w:val="28"/>
                                <w:szCs w:val="28"/>
                                <w:u w:val="single"/>
                              </w:rPr>
                              <w:t>Услуга по согласованию проектной документации является бесплатной.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o:spt="1" type="#_x0000_t1" style="position:absolute;z-index:251661312;o:allowoverlap:true;o:allowincell:true;mso-position-horizontal-relative:text;margin-left:18.10pt;mso-position-horizontal:absolute;mso-position-vertical-relative:text;margin-top:346.41pt;mso-position-vertical:absolute;width:451.80pt;height:92.05pt;mso-wrap-distance-left:9.00pt;mso-wrap-distance-top:0.00pt;mso-wrap-distance-right:9.00pt;mso-wrap-distance-bottom:0.00pt;visibility:visible;" fillcolor="#76ABDB" stroked="f" strokeweight="0.50pt">
                <v:stroke dashstyle="solid"/>
                <v:textbox inset="0,0,0,0">
                  <w:txbxContent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3</w:t>
                      </w: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Согласование проектной документации.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Согласование проектной документации производится по окончанию проектирования УИРГ.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bCs/>
                          <w:color w:val="000000" w:themeColor="dark1"/>
                          <w:sz w:val="28"/>
                          <w:szCs w:val="28"/>
                          <w:u w:val="single"/>
                        </w:rPr>
                        <w:t xml:space="preserve">Услуга по согласованию проектной документации является бесплатной.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226288</wp:posOffset>
                </wp:positionH>
                <wp:positionV relativeFrom="paragraph">
                  <wp:posOffset>2797378</wp:posOffset>
                </wp:positionV>
                <wp:extent cx="5737860" cy="1169035"/>
                <wp:effectExtent l="0" t="0" r="0" b="0"/>
                <wp:wrapNone/>
                <wp:docPr id="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37860" cy="11690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2000"/>
                                <a:lumOff val="18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2. Разработка проектной документации/внесение изменений в существующий проект.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Выполняется любой лицензированной проектной организац</w:t>
                            </w: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ией на основании заключенного договора на данные виды работ.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o:spt="1" type="#_x0000_t1" style="position:absolute;z-index:251668480;o:allowoverlap:true;o:allowincell:true;mso-position-horizontal-relative:text;margin-left:17.82pt;mso-position-horizontal:absolute;mso-position-vertical-relative:text;margin-top:220.27pt;mso-position-vertical:absolute;width:451.80pt;height:92.05pt;mso-wrap-distance-left:9.00pt;mso-wrap-distance-top:0.00pt;mso-wrap-distance-right:9.00pt;mso-wrap-distance-bottom:0.00pt;visibility:visible;" fillcolor="#76ABDB" stroked="f" strokeweight="0.50pt">
                <v:stroke dashstyle="solid"/>
                <v:textbox inset="0,0,0,0">
                  <w:txbxContent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2. Разработка проектной документации/внесение изменений в существующий проект.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Выполняется любой лицензированной проектной организацией на основании заключенного договора на данные виды работ.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2146884</wp:posOffset>
                </wp:positionV>
                <wp:extent cx="615848" cy="584149"/>
                <wp:effectExtent l="15875" t="3175" r="29209" b="29209"/>
                <wp:wrapNone/>
                <wp:docPr id="8" name="Штриховая 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615848" cy="584149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o:spt="93" type="#_x0000_t93" style="position:absolute;z-index:251663360;o:allowoverlap:true;o:allowincell:true;mso-position-horizontal-relative:text;margin-left:217.95pt;mso-position-horizontal:absolute;mso-position-vertical-relative:text;margin-top:169.05pt;mso-position-vertical:absolute;width:48.49pt;height:46.00pt;mso-wrap-distance-left:9.00pt;mso-wrap-distance-top:0.00pt;mso-wrap-distance-right:9.00pt;mso-wrap-distance-bottom:0.00pt;rotation:90;visibility:visible;" fillcolor="#99C1E5" strokecolor="#2D4D6A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1212926</wp:posOffset>
                </wp:positionV>
                <wp:extent cx="5737860" cy="954107"/>
                <wp:effectExtent l="0" t="0" r="0" b="0"/>
                <wp:wrapNone/>
                <wp:docPr id="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37860" cy="95410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2000"/>
                                <a:lumOff val="18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58" w:rsidRDefault="00C40FF8">
                            <w:pPr>
                              <w:pStyle w:val="af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Получение технических условий.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bCs/>
                                <w:color w:val="000000" w:themeColor="dark1"/>
                                <w:sz w:val="28"/>
                                <w:szCs w:val="28"/>
                                <w:u w:val="single"/>
                              </w:rPr>
                              <w:t>Услуга по выдаче ТУ является бесплатной.</w:t>
                            </w: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Обращение за получением ТУ заявителем или его представителем (по доверенности) производится до начала работ по проектированию УИРГ.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o:spt="1" type="#_x0000_t1" style="position:absolute;z-index:251660288;o:allowoverlap:true;o:allowincell:true;mso-position-horizontal-relative:text;margin-left:18.10pt;mso-position-horizontal:absolute;mso-position-vertical-relative:text;margin-top:95.51pt;mso-position-vertical:absolute;width:451.80pt;height:75.13pt;mso-wrap-distance-left:9.00pt;mso-wrap-distance-top:0.00pt;mso-wrap-distance-right:9.00pt;mso-wrap-distance-bottom:0.00pt;visibility:visible;" fillcolor="#76ABDB" stroked="f" strokeweight="0.50pt">
                <v:stroke dashstyle="solid"/>
                <v:textbox inset="0,0,0,0">
                  <w:txbxContent>
                    <w:p>
                      <w:pPr>
                        <w:pStyle w:val="631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Получение технических условий.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4"/>
                        </w:rPr>
                      </w:r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bCs/>
                          <w:color w:val="000000" w:themeColor="dark1"/>
                          <w:sz w:val="28"/>
                          <w:szCs w:val="28"/>
                          <w:u w:val="single"/>
                        </w:rPr>
                        <w:t xml:space="preserve">Услуга по выдаче ТУ является бесплатной.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 Обращение за получением ТУ заявителем или его представителем (по доверенности) производится до начала работ по проектированию УИРГ.</w:t>
                      </w:r>
                      <w:r>
                        <w:rPr>
                          <w:rFonts w:eastAsiaTheme="minor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11563350</wp:posOffset>
                </wp:positionV>
                <wp:extent cx="5737860" cy="1384935"/>
                <wp:effectExtent l="0" t="0" r="15240" b="24765"/>
                <wp:wrapNone/>
                <wp:docPr id="10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37860" cy="13849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82000"/>
                                <a:lumOff val="18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3. Приемка УИРГ в коммерческую эксплуатацию.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Приемка УИРГ проводится по обращению Потребителя, после выполнения монтажны</w:t>
                            </w: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х работ предусмотренных согласованной проектной документацией.</w:t>
                            </w:r>
                          </w:p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u w:val="single"/>
                              </w:rPr>
                              <w:t>Услуга по приемке узла измерения расхода газа (далее УИРГ) в коммерческую эксплуатацию является бесплатной.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9" o:spid="_x0000_s9" o:spt="1" type="#_x0000_t1" style="position:absolute;z-index:251662336;o:allowoverlap:true;o:allowincell:true;mso-position-horizontal-relative:text;margin-left:59.45pt;mso-position-horizontal:absolute;mso-position-vertical-relative:text;margin-top:910.50pt;mso-position-vertical:absolute;width:451.80pt;height:109.05pt;mso-wrap-distance-left:9.00pt;mso-wrap-distance-top:0.00pt;mso-wrap-distance-right:9.00pt;mso-wrap-distance-bottom:0.00pt;visibility:visible;" fillcolor="#76ABDB" strokecolor="#4472C4" strokeweight="0.50pt">
                <v:stroke dashstyle="solid"/>
                <v:textbox inset="0,0,0,0">
                  <w:txbxContent>
                    <w:p>
                      <w:pPr>
                        <w:pStyle w:val="633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3. Приемка УИРГ в коммерческую эксплуатацию.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Приемка УИРГ проводится по обращению Потребителя, после выполнения 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монтажных работ</w:t>
                      </w:r>
                      <w:r>
                        <w:rPr>
                          <w:color w:val="000000" w:themeColor="dark1"/>
                          <w:sz w:val="28"/>
                          <w:szCs w:val="28"/>
                        </w:rPr>
                        <w:t xml:space="preserve"> предусмотренных согласованной проектной документацией.</w:t>
                      </w:r>
                      <w:r/>
                    </w:p>
                    <w:p>
                      <w:pPr>
                        <w:pStyle w:val="633"/>
                        <w:jc w:val="both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8"/>
                          <w:szCs w:val="28"/>
                          <w:u w:val="single"/>
                        </w:rPr>
                        <w:t xml:space="preserve">Услуга по приемке узла измерения расхода газа (далее УИРГ) в коммерческую эксплуатацию является бесплатной.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13534"/>
          <w:sz w:val="27"/>
          <w:szCs w:val="27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154940</wp:posOffset>
                </wp:positionV>
                <wp:extent cx="6858000" cy="830580"/>
                <wp:effectExtent l="0" t="0" r="0" b="0"/>
                <wp:wrapNone/>
                <wp:docPr id="1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7958" w:rsidRDefault="00C40FF8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Порядок действий при установке или замене узла измерения расхода газа (счетчика га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за)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o:spt="1" type="#_x0000_t1" style="position:absolute;z-index:251659264;o:allowoverlap:true;o:allowincell:true;mso-position-horizontal-relative:text;margin-left:-28.15pt;mso-position-horizontal:absolute;mso-position-vertical-relative:text;margin-top:12.20pt;mso-position-vertical:absolute;width:540.00pt;height:65.4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33"/>
                        <w:jc w:val="center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Порядок действий при установке или замене узла измерения расхода газа (счетчика газа)</w:t>
                      </w:r>
                      <w:r>
                        <w:rPr>
                          <w:sz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sectPr w:rsidR="00487958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FF8" w:rsidRDefault="00C40FF8">
      <w:pPr>
        <w:spacing w:after="0" w:line="240" w:lineRule="auto"/>
      </w:pPr>
      <w:r>
        <w:separator/>
      </w:r>
    </w:p>
  </w:endnote>
  <w:endnote w:type="continuationSeparator" w:id="0">
    <w:p w:rsidR="00C40FF8" w:rsidRDefault="00C4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FF8" w:rsidRDefault="00C40FF8">
      <w:pPr>
        <w:spacing w:after="0" w:line="240" w:lineRule="auto"/>
      </w:pPr>
      <w:r>
        <w:separator/>
      </w:r>
    </w:p>
  </w:footnote>
  <w:footnote w:type="continuationSeparator" w:id="0">
    <w:p w:rsidR="00C40FF8" w:rsidRDefault="00C4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8D4"/>
    <w:multiLevelType w:val="hybridMultilevel"/>
    <w:tmpl w:val="A6547664"/>
    <w:lvl w:ilvl="0" w:tplc="6FFC9E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dark1"/>
      </w:rPr>
    </w:lvl>
    <w:lvl w:ilvl="1" w:tplc="B6AEDF9E">
      <w:start w:val="1"/>
      <w:numFmt w:val="lowerLetter"/>
      <w:lvlText w:val="%2."/>
      <w:lvlJc w:val="left"/>
      <w:pPr>
        <w:ind w:left="1440" w:hanging="360"/>
      </w:pPr>
    </w:lvl>
    <w:lvl w:ilvl="2" w:tplc="5DDAE012">
      <w:start w:val="1"/>
      <w:numFmt w:val="lowerRoman"/>
      <w:lvlText w:val="%3."/>
      <w:lvlJc w:val="right"/>
      <w:pPr>
        <w:ind w:left="2160" w:hanging="180"/>
      </w:pPr>
    </w:lvl>
    <w:lvl w:ilvl="3" w:tplc="D8525FD4">
      <w:start w:val="1"/>
      <w:numFmt w:val="decimal"/>
      <w:lvlText w:val="%4."/>
      <w:lvlJc w:val="left"/>
      <w:pPr>
        <w:ind w:left="2880" w:hanging="360"/>
      </w:pPr>
    </w:lvl>
    <w:lvl w:ilvl="4" w:tplc="D41015E8">
      <w:start w:val="1"/>
      <w:numFmt w:val="lowerLetter"/>
      <w:lvlText w:val="%5."/>
      <w:lvlJc w:val="left"/>
      <w:pPr>
        <w:ind w:left="3600" w:hanging="360"/>
      </w:pPr>
    </w:lvl>
    <w:lvl w:ilvl="5" w:tplc="B12C6AE6">
      <w:start w:val="1"/>
      <w:numFmt w:val="lowerRoman"/>
      <w:lvlText w:val="%6."/>
      <w:lvlJc w:val="right"/>
      <w:pPr>
        <w:ind w:left="4320" w:hanging="180"/>
      </w:pPr>
    </w:lvl>
    <w:lvl w:ilvl="6" w:tplc="6A745F0E">
      <w:start w:val="1"/>
      <w:numFmt w:val="decimal"/>
      <w:lvlText w:val="%7."/>
      <w:lvlJc w:val="left"/>
      <w:pPr>
        <w:ind w:left="5040" w:hanging="360"/>
      </w:pPr>
    </w:lvl>
    <w:lvl w:ilvl="7" w:tplc="09BCEE16">
      <w:start w:val="1"/>
      <w:numFmt w:val="lowerLetter"/>
      <w:lvlText w:val="%8."/>
      <w:lvlJc w:val="left"/>
      <w:pPr>
        <w:ind w:left="5760" w:hanging="360"/>
      </w:pPr>
    </w:lvl>
    <w:lvl w:ilvl="8" w:tplc="670495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4669"/>
    <w:multiLevelType w:val="hybridMultilevel"/>
    <w:tmpl w:val="B588AAFA"/>
    <w:lvl w:ilvl="0" w:tplc="A3962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5705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6B9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DC9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C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E68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E5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8A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5E2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BF437C"/>
    <w:multiLevelType w:val="hybridMultilevel"/>
    <w:tmpl w:val="483C7948"/>
    <w:lvl w:ilvl="0" w:tplc="314C9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705772">
      <w:start w:val="1"/>
      <w:numFmt w:val="lowerLetter"/>
      <w:lvlText w:val="%2."/>
      <w:lvlJc w:val="left"/>
      <w:pPr>
        <w:ind w:left="1440" w:hanging="360"/>
      </w:pPr>
    </w:lvl>
    <w:lvl w:ilvl="2" w:tplc="2816419A">
      <w:start w:val="1"/>
      <w:numFmt w:val="lowerRoman"/>
      <w:lvlText w:val="%3."/>
      <w:lvlJc w:val="right"/>
      <w:pPr>
        <w:ind w:left="2160" w:hanging="180"/>
      </w:pPr>
    </w:lvl>
    <w:lvl w:ilvl="3" w:tplc="13F62330">
      <w:start w:val="1"/>
      <w:numFmt w:val="decimal"/>
      <w:lvlText w:val="%4."/>
      <w:lvlJc w:val="left"/>
      <w:pPr>
        <w:ind w:left="2880" w:hanging="360"/>
      </w:pPr>
    </w:lvl>
    <w:lvl w:ilvl="4" w:tplc="2DDEE756">
      <w:start w:val="1"/>
      <w:numFmt w:val="lowerLetter"/>
      <w:lvlText w:val="%5."/>
      <w:lvlJc w:val="left"/>
      <w:pPr>
        <w:ind w:left="3600" w:hanging="360"/>
      </w:pPr>
    </w:lvl>
    <w:lvl w:ilvl="5" w:tplc="8C1466D6">
      <w:start w:val="1"/>
      <w:numFmt w:val="lowerRoman"/>
      <w:lvlText w:val="%6."/>
      <w:lvlJc w:val="right"/>
      <w:pPr>
        <w:ind w:left="4320" w:hanging="180"/>
      </w:pPr>
    </w:lvl>
    <w:lvl w:ilvl="6" w:tplc="A2644620">
      <w:start w:val="1"/>
      <w:numFmt w:val="decimal"/>
      <w:lvlText w:val="%7."/>
      <w:lvlJc w:val="left"/>
      <w:pPr>
        <w:ind w:left="5040" w:hanging="360"/>
      </w:pPr>
    </w:lvl>
    <w:lvl w:ilvl="7" w:tplc="B3D47D46">
      <w:start w:val="1"/>
      <w:numFmt w:val="lowerLetter"/>
      <w:lvlText w:val="%8."/>
      <w:lvlJc w:val="left"/>
      <w:pPr>
        <w:ind w:left="5760" w:hanging="360"/>
      </w:pPr>
    </w:lvl>
    <w:lvl w:ilvl="8" w:tplc="66A679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E56E9"/>
    <w:multiLevelType w:val="hybridMultilevel"/>
    <w:tmpl w:val="E05248D8"/>
    <w:lvl w:ilvl="0" w:tplc="12A81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AE2F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8C2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24CB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7EF7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2A7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9C96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DA11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167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40DF4"/>
    <w:multiLevelType w:val="hybridMultilevel"/>
    <w:tmpl w:val="DD467444"/>
    <w:lvl w:ilvl="0" w:tplc="ED66F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AC98B2">
      <w:start w:val="1"/>
      <w:numFmt w:val="lowerLetter"/>
      <w:lvlText w:val="%2."/>
      <w:lvlJc w:val="left"/>
      <w:pPr>
        <w:ind w:left="1440" w:hanging="360"/>
      </w:pPr>
    </w:lvl>
    <w:lvl w:ilvl="2" w:tplc="8DC084BE">
      <w:start w:val="1"/>
      <w:numFmt w:val="lowerRoman"/>
      <w:lvlText w:val="%3."/>
      <w:lvlJc w:val="right"/>
      <w:pPr>
        <w:ind w:left="2160" w:hanging="180"/>
      </w:pPr>
    </w:lvl>
    <w:lvl w:ilvl="3" w:tplc="DC02E61E">
      <w:start w:val="1"/>
      <w:numFmt w:val="decimal"/>
      <w:lvlText w:val="%4."/>
      <w:lvlJc w:val="left"/>
      <w:pPr>
        <w:ind w:left="2880" w:hanging="360"/>
      </w:pPr>
    </w:lvl>
    <w:lvl w:ilvl="4" w:tplc="CF92A860">
      <w:start w:val="1"/>
      <w:numFmt w:val="lowerLetter"/>
      <w:lvlText w:val="%5."/>
      <w:lvlJc w:val="left"/>
      <w:pPr>
        <w:ind w:left="3600" w:hanging="360"/>
      </w:pPr>
    </w:lvl>
    <w:lvl w:ilvl="5" w:tplc="F9EC87E8">
      <w:start w:val="1"/>
      <w:numFmt w:val="lowerRoman"/>
      <w:lvlText w:val="%6."/>
      <w:lvlJc w:val="right"/>
      <w:pPr>
        <w:ind w:left="4320" w:hanging="180"/>
      </w:pPr>
    </w:lvl>
    <w:lvl w:ilvl="6" w:tplc="4C2A406C">
      <w:start w:val="1"/>
      <w:numFmt w:val="decimal"/>
      <w:lvlText w:val="%7."/>
      <w:lvlJc w:val="left"/>
      <w:pPr>
        <w:ind w:left="5040" w:hanging="360"/>
      </w:pPr>
    </w:lvl>
    <w:lvl w:ilvl="7" w:tplc="D0060CFC">
      <w:start w:val="1"/>
      <w:numFmt w:val="lowerLetter"/>
      <w:lvlText w:val="%8."/>
      <w:lvlJc w:val="left"/>
      <w:pPr>
        <w:ind w:left="5760" w:hanging="360"/>
      </w:pPr>
    </w:lvl>
    <w:lvl w:ilvl="8" w:tplc="839A21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8"/>
    <w:rsid w:val="00487958"/>
    <w:rsid w:val="008E0344"/>
    <w:rsid w:val="00C4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11D9BB-28BF-4416-BADB-4E4C51FE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gnn.ru/File/zayavka_na_TU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rg@samga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g@samga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rgnn.ru/File/zayavka_na_KUU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g@samga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7CAC-2E4D-4B1F-B619-2051676F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Никита Сергеевич</dc:creator>
  <cp:keywords/>
  <dc:description/>
  <cp:lastModifiedBy>Юшкевич Василий Брониславович</cp:lastModifiedBy>
  <cp:revision>2</cp:revision>
  <dcterms:created xsi:type="dcterms:W3CDTF">2026-04-21T12:11:00Z</dcterms:created>
  <dcterms:modified xsi:type="dcterms:W3CDTF">2026-04-21T12:11:00Z</dcterms:modified>
</cp:coreProperties>
</file>